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19" w:rsidRPr="00EB7659" w:rsidRDefault="00420419" w:rsidP="00420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659">
        <w:rPr>
          <w:rFonts w:ascii="Times New Roman" w:hAnsi="Times New Roman" w:cs="Times New Roman"/>
          <w:sz w:val="28"/>
          <w:szCs w:val="28"/>
        </w:rPr>
        <w:t>ПОВЕСТКА ДНЯ СОБРАНИЯ:</w:t>
      </w:r>
    </w:p>
    <w:p w:rsidR="00420419" w:rsidRPr="00EB7659" w:rsidRDefault="00420419" w:rsidP="004204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659">
        <w:rPr>
          <w:rFonts w:ascii="Times New Roman" w:hAnsi="Times New Roman" w:cs="Times New Roman"/>
          <w:b/>
          <w:sz w:val="28"/>
          <w:szCs w:val="28"/>
        </w:rPr>
        <w:t>1.</w:t>
      </w:r>
      <w:r w:rsidRPr="00EB7659">
        <w:rPr>
          <w:rFonts w:ascii="Times New Roman" w:hAnsi="Times New Roman" w:cs="Times New Roman"/>
          <w:sz w:val="28"/>
          <w:szCs w:val="28"/>
        </w:rPr>
        <w:t xml:space="preserve"> Об итогах финансово-хозяйственной деятельности Общества </w:t>
      </w:r>
      <w:r>
        <w:rPr>
          <w:rFonts w:ascii="Times New Roman" w:hAnsi="Times New Roman" w:cs="Times New Roman"/>
          <w:sz w:val="28"/>
          <w:szCs w:val="28"/>
        </w:rPr>
        <w:t xml:space="preserve">за 2021 год, основные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направления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 год</w:t>
      </w:r>
    </w:p>
    <w:p w:rsidR="00FB3BB7" w:rsidRPr="00EB7659" w:rsidRDefault="00FB3BB7" w:rsidP="00FB3BB7">
      <w:pPr>
        <w:shd w:val="clear" w:color="auto" w:fill="FFFFFF"/>
        <w:spacing w:after="0" w:line="240" w:lineRule="auto"/>
        <w:ind w:firstLine="413"/>
        <w:jc w:val="both"/>
        <w:rPr>
          <w:rFonts w:ascii="Times New Roman" w:hAnsi="Times New Roman" w:cs="Times New Roman"/>
          <w:sz w:val="28"/>
          <w:szCs w:val="28"/>
        </w:rPr>
      </w:pPr>
      <w:r w:rsidRPr="00EB7659">
        <w:rPr>
          <w:b/>
          <w:sz w:val="28"/>
          <w:szCs w:val="28"/>
        </w:rPr>
        <w:t xml:space="preserve">РЕШИЛИ: </w:t>
      </w:r>
      <w:r w:rsidRPr="00EB7659">
        <w:rPr>
          <w:rFonts w:ascii="Times New Roman" w:hAnsi="Times New Roman" w:cs="Times New Roman"/>
          <w:sz w:val="28"/>
          <w:szCs w:val="28"/>
        </w:rPr>
        <w:t xml:space="preserve">Принять к сведению   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EB7659">
        <w:rPr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  директора   Общества, работу Общества в 2021</w:t>
      </w:r>
      <w:r w:rsidRPr="00EB7659">
        <w:rPr>
          <w:rFonts w:ascii="Times New Roman" w:hAnsi="Times New Roman" w:cs="Times New Roman"/>
          <w:sz w:val="28"/>
          <w:szCs w:val="28"/>
        </w:rPr>
        <w:t xml:space="preserve"> году признать удовлетворительной, утвердить отчет исполнительного директора об итогах финансово-хозяйственн</w:t>
      </w:r>
      <w:r>
        <w:rPr>
          <w:rFonts w:ascii="Times New Roman" w:hAnsi="Times New Roman" w:cs="Times New Roman"/>
          <w:sz w:val="28"/>
          <w:szCs w:val="28"/>
        </w:rPr>
        <w:t>ой деятельности Общества за 2021</w:t>
      </w:r>
      <w:r w:rsidRPr="00EB765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20419" w:rsidRPr="00EB7659" w:rsidRDefault="00FB3BB7" w:rsidP="004204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 принято.</w:t>
      </w:r>
    </w:p>
    <w:p w:rsidR="00420419" w:rsidRPr="00EB7659" w:rsidRDefault="00420419" w:rsidP="00420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5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659">
        <w:rPr>
          <w:rFonts w:ascii="Times New Roman" w:hAnsi="Times New Roman" w:cs="Times New Roman"/>
          <w:sz w:val="28"/>
          <w:szCs w:val="28"/>
        </w:rPr>
        <w:t>Об утверждении</w:t>
      </w:r>
      <w:r w:rsidRPr="00EB7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659">
        <w:rPr>
          <w:rFonts w:ascii="Times New Roman" w:hAnsi="Times New Roman" w:cs="Times New Roman"/>
          <w:sz w:val="28"/>
          <w:szCs w:val="28"/>
        </w:rPr>
        <w:t>отчета о работе наблюдательного совета за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EB765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B3BB7" w:rsidRPr="00EB7659" w:rsidRDefault="00FB3BB7" w:rsidP="00FB3BB7">
      <w:pPr>
        <w:shd w:val="clear" w:color="auto" w:fill="FFFFFF"/>
        <w:spacing w:after="0" w:line="240" w:lineRule="auto"/>
        <w:ind w:firstLine="413"/>
        <w:jc w:val="both"/>
        <w:rPr>
          <w:b/>
          <w:sz w:val="28"/>
          <w:szCs w:val="28"/>
        </w:rPr>
      </w:pPr>
      <w:r w:rsidRPr="00EB7659">
        <w:rPr>
          <w:b/>
          <w:sz w:val="28"/>
          <w:szCs w:val="28"/>
        </w:rPr>
        <w:t>РЕШИЛИ:</w:t>
      </w:r>
    </w:p>
    <w:p w:rsidR="00420419" w:rsidRDefault="00FB3BB7" w:rsidP="00FB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59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EA39B3">
        <w:rPr>
          <w:rFonts w:ascii="Times New Roman" w:hAnsi="Times New Roman" w:cs="Times New Roman"/>
          <w:sz w:val="28"/>
          <w:szCs w:val="28"/>
        </w:rPr>
        <w:t xml:space="preserve"> наблюдательного совета</w:t>
      </w:r>
      <w:r w:rsidR="001D74B8">
        <w:rPr>
          <w:rFonts w:ascii="Times New Roman" w:hAnsi="Times New Roman" w:cs="Times New Roman"/>
          <w:sz w:val="28"/>
          <w:szCs w:val="28"/>
        </w:rPr>
        <w:t xml:space="preserve"> </w:t>
      </w:r>
      <w:r w:rsidRPr="00EB7659">
        <w:rPr>
          <w:rFonts w:ascii="Times New Roman" w:hAnsi="Times New Roman" w:cs="Times New Roman"/>
          <w:sz w:val="28"/>
          <w:szCs w:val="28"/>
        </w:rPr>
        <w:t>о работе наблюд</w:t>
      </w:r>
      <w:r>
        <w:rPr>
          <w:rFonts w:ascii="Times New Roman" w:hAnsi="Times New Roman" w:cs="Times New Roman"/>
          <w:sz w:val="28"/>
          <w:szCs w:val="28"/>
        </w:rPr>
        <w:t>ательного совета Общества в 2021</w:t>
      </w:r>
      <w:r w:rsidRPr="00EB7659">
        <w:rPr>
          <w:rFonts w:ascii="Times New Roman" w:hAnsi="Times New Roman" w:cs="Times New Roman"/>
          <w:sz w:val="28"/>
          <w:szCs w:val="28"/>
        </w:rPr>
        <w:t xml:space="preserve"> году и его оценк</w:t>
      </w:r>
      <w:r>
        <w:rPr>
          <w:rFonts w:ascii="Times New Roman" w:hAnsi="Times New Roman" w:cs="Times New Roman"/>
          <w:sz w:val="28"/>
          <w:szCs w:val="28"/>
        </w:rPr>
        <w:t>у о деятельности Общества в 2021</w:t>
      </w:r>
      <w:r w:rsidRPr="00EB7659">
        <w:rPr>
          <w:rFonts w:ascii="Times New Roman" w:hAnsi="Times New Roman" w:cs="Times New Roman"/>
          <w:sz w:val="28"/>
          <w:szCs w:val="28"/>
        </w:rPr>
        <w:t xml:space="preserve"> году, рабо</w:t>
      </w:r>
      <w:r>
        <w:rPr>
          <w:rFonts w:ascii="Times New Roman" w:hAnsi="Times New Roman" w:cs="Times New Roman"/>
          <w:sz w:val="28"/>
          <w:szCs w:val="28"/>
        </w:rPr>
        <w:t>ту наблюдательного совета в 2021</w:t>
      </w:r>
      <w:r w:rsidRPr="00EB7659">
        <w:rPr>
          <w:rFonts w:ascii="Times New Roman" w:hAnsi="Times New Roman" w:cs="Times New Roman"/>
          <w:sz w:val="28"/>
          <w:szCs w:val="28"/>
        </w:rPr>
        <w:t xml:space="preserve"> году признать удовлетворительной.</w:t>
      </w:r>
    </w:p>
    <w:p w:rsidR="00FB3BB7" w:rsidRDefault="00FB3BB7" w:rsidP="00FB3B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420419" w:rsidRDefault="00420419" w:rsidP="00420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80A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AB5">
        <w:rPr>
          <w:rFonts w:ascii="Times New Roman" w:hAnsi="Times New Roman" w:cs="Times New Roman"/>
          <w:sz w:val="28"/>
          <w:szCs w:val="28"/>
        </w:rPr>
        <w:t>О результатах аудиторской проверки и проверки ревизионной комиссии финансово-хозяйственн</w:t>
      </w:r>
      <w:r>
        <w:rPr>
          <w:rFonts w:ascii="Times New Roman" w:hAnsi="Times New Roman" w:cs="Times New Roman"/>
          <w:sz w:val="28"/>
          <w:szCs w:val="28"/>
        </w:rPr>
        <w:t>ой деятельности Общества за 2021</w:t>
      </w:r>
      <w:r w:rsidR="00FB3BB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B3BB7" w:rsidRPr="00A4161E" w:rsidRDefault="00FB3BB7" w:rsidP="00FB3BB7">
      <w:pPr>
        <w:pStyle w:val="a5"/>
        <w:rPr>
          <w:b/>
          <w:bCs/>
          <w:sz w:val="26"/>
          <w:szCs w:val="26"/>
        </w:rPr>
      </w:pPr>
      <w:r w:rsidRPr="00A152EA">
        <w:rPr>
          <w:b/>
          <w:bCs/>
          <w:sz w:val="26"/>
          <w:szCs w:val="26"/>
        </w:rPr>
        <w:t>РЕШИЛИ:</w:t>
      </w:r>
    </w:p>
    <w:p w:rsidR="00FB3BB7" w:rsidRPr="005D41E2" w:rsidRDefault="00FB3BB7" w:rsidP="00FB3BB7">
      <w:pPr>
        <w:pStyle w:val="a5"/>
        <w:rPr>
          <w:bCs/>
          <w:szCs w:val="28"/>
          <w:lang w:val="be-BY"/>
        </w:rPr>
      </w:pPr>
      <w:r w:rsidRPr="005D41E2">
        <w:rPr>
          <w:bCs/>
          <w:szCs w:val="28"/>
        </w:rPr>
        <w:t xml:space="preserve">           </w:t>
      </w:r>
      <w:r w:rsidRPr="005D41E2">
        <w:rPr>
          <w:bCs/>
          <w:szCs w:val="28"/>
          <w:lang w:val="be-BY"/>
        </w:rPr>
        <w:t>В связи с отсутствием аудиторского заключения на момент проведения собрания акционеров данный вопрос рассмотреть на внеочередном собрании акционеров после проведения аудиторской проверки.</w:t>
      </w:r>
    </w:p>
    <w:p w:rsidR="00FB3BB7" w:rsidRPr="00FB3BB7" w:rsidRDefault="00FB3BB7" w:rsidP="00420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Решение принято.</w:t>
      </w:r>
    </w:p>
    <w:p w:rsidR="00420419" w:rsidRDefault="00420419" w:rsidP="00420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Об</w:t>
      </w:r>
      <w:r w:rsidRPr="00EB7659">
        <w:rPr>
          <w:rFonts w:ascii="Times New Roman" w:hAnsi="Times New Roman" w:cs="Times New Roman"/>
          <w:sz w:val="28"/>
          <w:szCs w:val="28"/>
        </w:rPr>
        <w:t xml:space="preserve"> утверждении годового отчета, годовой бухгалтерской отчетности и распред</w:t>
      </w:r>
      <w:r>
        <w:rPr>
          <w:rFonts w:ascii="Times New Roman" w:hAnsi="Times New Roman" w:cs="Times New Roman"/>
          <w:sz w:val="28"/>
          <w:szCs w:val="28"/>
        </w:rPr>
        <w:t>еление прибыли (убытков) за 2021</w:t>
      </w:r>
      <w:r w:rsidRPr="00EB7659">
        <w:rPr>
          <w:rFonts w:ascii="Times New Roman" w:hAnsi="Times New Roman" w:cs="Times New Roman"/>
          <w:sz w:val="28"/>
          <w:szCs w:val="28"/>
        </w:rPr>
        <w:t xml:space="preserve"> год с учетом заключения ревизионной комиссии и аудитора.</w:t>
      </w:r>
    </w:p>
    <w:p w:rsidR="00FB3BB7" w:rsidRPr="00A4161E" w:rsidRDefault="00FB3BB7" w:rsidP="00FB3BB7">
      <w:pPr>
        <w:pStyle w:val="a5"/>
        <w:rPr>
          <w:b/>
          <w:bCs/>
          <w:sz w:val="26"/>
          <w:szCs w:val="26"/>
        </w:rPr>
      </w:pPr>
      <w:r w:rsidRPr="00A4161E">
        <w:rPr>
          <w:b/>
          <w:bCs/>
          <w:sz w:val="26"/>
          <w:szCs w:val="26"/>
        </w:rPr>
        <w:t>РЕШИЛИ:</w:t>
      </w:r>
    </w:p>
    <w:p w:rsidR="00FB3BB7" w:rsidRPr="005D41E2" w:rsidRDefault="00FB3BB7" w:rsidP="00FB3BB7">
      <w:pPr>
        <w:pStyle w:val="a5"/>
        <w:rPr>
          <w:bCs/>
          <w:szCs w:val="28"/>
          <w:lang w:val="be-BY"/>
        </w:rPr>
      </w:pPr>
      <w:r w:rsidRPr="005D41E2">
        <w:rPr>
          <w:bCs/>
          <w:szCs w:val="28"/>
        </w:rPr>
        <w:t xml:space="preserve">           </w:t>
      </w:r>
      <w:r w:rsidRPr="005D41E2">
        <w:rPr>
          <w:bCs/>
          <w:szCs w:val="28"/>
          <w:lang w:val="be-BY"/>
        </w:rPr>
        <w:t>В связи с отсутствием аудиторского заключения на момент проведения собрания акционеров данный вопрос рассмотреть на внеочередном собрании акционеров после проведения аудиторской проверки.</w:t>
      </w:r>
    </w:p>
    <w:p w:rsidR="00420419" w:rsidRPr="00FB3BB7" w:rsidRDefault="00FB3BB7" w:rsidP="004204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Решение принято</w:t>
      </w:r>
    </w:p>
    <w:p w:rsidR="00FB3BB7" w:rsidRDefault="00420419" w:rsidP="00FB3BB7">
      <w:pPr>
        <w:pStyle w:val="a5"/>
        <w:rPr>
          <w:b/>
          <w:bCs/>
          <w:sz w:val="26"/>
          <w:szCs w:val="26"/>
        </w:rPr>
      </w:pPr>
      <w:r>
        <w:rPr>
          <w:b/>
          <w:szCs w:val="28"/>
        </w:rPr>
        <w:t>5</w:t>
      </w:r>
      <w:r>
        <w:rPr>
          <w:szCs w:val="28"/>
        </w:rPr>
        <w:t>.</w:t>
      </w:r>
      <w:r w:rsidRPr="008B2CA0">
        <w:rPr>
          <w:szCs w:val="28"/>
        </w:rPr>
        <w:t xml:space="preserve"> </w:t>
      </w:r>
      <w:r>
        <w:rPr>
          <w:szCs w:val="28"/>
        </w:rPr>
        <w:t>О выплате дивидендов за 2021</w:t>
      </w:r>
      <w:r w:rsidRPr="00EB7659">
        <w:rPr>
          <w:szCs w:val="28"/>
        </w:rPr>
        <w:t xml:space="preserve"> год и</w:t>
      </w:r>
      <w:r>
        <w:rPr>
          <w:szCs w:val="28"/>
        </w:rPr>
        <w:t xml:space="preserve"> периодичности их вы</w:t>
      </w:r>
      <w:r w:rsidR="00FB3BB7">
        <w:rPr>
          <w:szCs w:val="28"/>
        </w:rPr>
        <w:t>платы в 2022 году.</w:t>
      </w:r>
      <w:r w:rsidR="00FB3BB7" w:rsidRPr="00FB3BB7">
        <w:rPr>
          <w:b/>
          <w:bCs/>
          <w:sz w:val="26"/>
          <w:szCs w:val="26"/>
        </w:rPr>
        <w:t xml:space="preserve"> </w:t>
      </w:r>
    </w:p>
    <w:p w:rsidR="00FB3BB7" w:rsidRPr="00A4161E" w:rsidRDefault="00FB3BB7" w:rsidP="00FB3BB7">
      <w:pPr>
        <w:pStyle w:val="a5"/>
        <w:rPr>
          <w:b/>
          <w:bCs/>
          <w:sz w:val="26"/>
          <w:szCs w:val="26"/>
        </w:rPr>
      </w:pPr>
      <w:r w:rsidRPr="00A4161E">
        <w:rPr>
          <w:b/>
          <w:bCs/>
          <w:sz w:val="26"/>
          <w:szCs w:val="26"/>
        </w:rPr>
        <w:t>РЕШИЛИ:</w:t>
      </w:r>
    </w:p>
    <w:p w:rsidR="00420419" w:rsidRPr="00FB3BB7" w:rsidRDefault="00FB3BB7" w:rsidP="00FB3BB7">
      <w:pPr>
        <w:pStyle w:val="a5"/>
        <w:rPr>
          <w:bCs/>
          <w:szCs w:val="28"/>
          <w:lang w:val="be-BY"/>
        </w:rPr>
      </w:pPr>
      <w:r w:rsidRPr="005D41E2">
        <w:rPr>
          <w:bCs/>
          <w:szCs w:val="28"/>
        </w:rPr>
        <w:t xml:space="preserve">           </w:t>
      </w:r>
      <w:r w:rsidRPr="005D41E2">
        <w:rPr>
          <w:bCs/>
          <w:szCs w:val="28"/>
          <w:lang w:val="be-BY"/>
        </w:rPr>
        <w:t>В связи с отсутствием аудиторского заключения на момент проведения собрания акционеров данный вопрос рассмотреть на внеочередном собрании акционеров после проведения аудиторской проверки.</w:t>
      </w:r>
    </w:p>
    <w:p w:rsidR="00FB3BB7" w:rsidRPr="006545B6" w:rsidRDefault="00FB3BB7" w:rsidP="004204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 принято.</w:t>
      </w:r>
    </w:p>
    <w:p w:rsidR="00420419" w:rsidRDefault="00420419" w:rsidP="00420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6</w:t>
      </w:r>
      <w:r w:rsidRPr="00EB7659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 w:rsidRPr="00EB76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7659">
        <w:rPr>
          <w:rFonts w:ascii="Times New Roman" w:hAnsi="Times New Roman" w:cs="Times New Roman"/>
          <w:sz w:val="28"/>
          <w:szCs w:val="28"/>
        </w:rPr>
        <w:t>Об избрании членов наблюдательного совета и ревизионной комиссии.</w:t>
      </w:r>
    </w:p>
    <w:p w:rsidR="004D4197" w:rsidRPr="00EB7659" w:rsidRDefault="001D74B8" w:rsidP="004204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 w:rsidR="004D4197">
        <w:rPr>
          <w:rFonts w:ascii="Times New Roman" w:hAnsi="Times New Roman" w:cs="Times New Roman"/>
          <w:sz w:val="28"/>
          <w:szCs w:val="28"/>
        </w:rPr>
        <w:t>:</w:t>
      </w:r>
    </w:p>
    <w:p w:rsidR="00563BA9" w:rsidRPr="00EB7659" w:rsidRDefault="001D74B8" w:rsidP="00563BA9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Сформировать   наблюдательный совет</w:t>
      </w:r>
      <w:r w:rsidR="00563BA9">
        <w:rPr>
          <w:rFonts w:ascii="Times New Roman" w:hAnsi="Times New Roman" w:cs="Times New Roman"/>
          <w:spacing w:val="-2"/>
          <w:sz w:val="28"/>
          <w:szCs w:val="28"/>
        </w:rPr>
        <w:t xml:space="preserve"> в количестве 5-ти человек, в том числе 2 представителя государства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(список прилагается).</w:t>
      </w:r>
    </w:p>
    <w:p w:rsidR="00563BA9" w:rsidRPr="00EB7659" w:rsidRDefault="00563BA9" w:rsidP="00563BA9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7659">
        <w:rPr>
          <w:rFonts w:ascii="Times New Roman" w:hAnsi="Times New Roman" w:cs="Times New Roman"/>
          <w:spacing w:val="-2"/>
          <w:sz w:val="28"/>
          <w:szCs w:val="28"/>
        </w:rPr>
        <w:t>Избрать членами ревизионной комиссии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 количестве 3-х человек</w:t>
      </w:r>
      <w:r w:rsidR="001D74B8">
        <w:rPr>
          <w:rFonts w:ascii="Times New Roman" w:hAnsi="Times New Roman" w:cs="Times New Roman"/>
          <w:spacing w:val="-2"/>
          <w:sz w:val="28"/>
          <w:szCs w:val="28"/>
        </w:rPr>
        <w:t xml:space="preserve"> (список прилагается)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20419" w:rsidRPr="00EB7659" w:rsidRDefault="00563BA9" w:rsidP="00420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принято.</w:t>
      </w:r>
      <w:bookmarkStart w:id="0" w:name="_GoBack"/>
      <w:bookmarkEnd w:id="0"/>
    </w:p>
    <w:p w:rsidR="00420419" w:rsidRPr="00EB7659" w:rsidRDefault="00420419" w:rsidP="004204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B7659">
        <w:rPr>
          <w:rFonts w:ascii="Times New Roman" w:hAnsi="Times New Roman" w:cs="Times New Roman"/>
          <w:b/>
          <w:sz w:val="28"/>
          <w:szCs w:val="28"/>
        </w:rPr>
        <w:t>.</w:t>
      </w:r>
      <w:r w:rsidRPr="00EB7659">
        <w:rPr>
          <w:rFonts w:ascii="Times New Roman" w:hAnsi="Times New Roman" w:cs="Times New Roman"/>
          <w:sz w:val="28"/>
          <w:szCs w:val="28"/>
        </w:rPr>
        <w:t xml:space="preserve"> О размере вознаграждений и компенсации расходов членам наблюдательного совета и ревизионной комиссии.</w:t>
      </w:r>
    </w:p>
    <w:p w:rsidR="00563BA9" w:rsidRPr="00EB7659" w:rsidRDefault="00563BA9" w:rsidP="00563BA9">
      <w:pPr>
        <w:shd w:val="clear" w:color="auto" w:fill="FFFFFF"/>
        <w:spacing w:after="0" w:line="240" w:lineRule="auto"/>
        <w:ind w:firstLine="41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05FF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659">
        <w:rPr>
          <w:rFonts w:ascii="Times New Roman" w:hAnsi="Times New Roman" w:cs="Times New Roman"/>
          <w:spacing w:val="-2"/>
          <w:sz w:val="28"/>
          <w:szCs w:val="28"/>
        </w:rPr>
        <w:t xml:space="preserve">Установить для членов наблюдательного совета и ревизионной комиссии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EB7659">
        <w:rPr>
          <w:rFonts w:ascii="Times New Roman" w:hAnsi="Times New Roman" w:cs="Times New Roman"/>
          <w:spacing w:val="-2"/>
          <w:sz w:val="28"/>
          <w:szCs w:val="28"/>
        </w:rPr>
        <w:t xml:space="preserve">ледующее ежеквартальное вознаграждение за осуществление возлагаемых на них 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EB7659">
        <w:rPr>
          <w:rFonts w:ascii="Times New Roman" w:hAnsi="Times New Roman" w:cs="Times New Roman"/>
          <w:spacing w:val="-2"/>
          <w:sz w:val="28"/>
          <w:szCs w:val="28"/>
        </w:rPr>
        <w:t>бязанностей:</w:t>
      </w:r>
    </w:p>
    <w:p w:rsidR="00563BA9" w:rsidRPr="00EB7659" w:rsidRDefault="00563BA9" w:rsidP="00563BA9">
      <w:pPr>
        <w:shd w:val="clear" w:color="auto" w:fill="FFFFFF"/>
        <w:tabs>
          <w:tab w:val="left" w:pos="634"/>
        </w:tabs>
        <w:spacing w:after="0" w:line="240" w:lineRule="auto"/>
        <w:ind w:firstLine="60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7659">
        <w:rPr>
          <w:rFonts w:ascii="Times New Roman" w:hAnsi="Times New Roman" w:cs="Times New Roman"/>
          <w:spacing w:val="-2"/>
          <w:sz w:val="28"/>
          <w:szCs w:val="28"/>
        </w:rPr>
        <w:t>членам наблюдательного совета – 1 базовых величин;</w:t>
      </w:r>
    </w:p>
    <w:p w:rsidR="00563BA9" w:rsidRPr="00EB7659" w:rsidRDefault="00563BA9" w:rsidP="00563BA9">
      <w:pPr>
        <w:shd w:val="clear" w:color="auto" w:fill="FFFFFF"/>
        <w:tabs>
          <w:tab w:val="left" w:pos="634"/>
        </w:tabs>
        <w:spacing w:after="0" w:line="240" w:lineRule="auto"/>
        <w:ind w:firstLine="60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7659">
        <w:rPr>
          <w:rFonts w:ascii="Times New Roman" w:hAnsi="Times New Roman" w:cs="Times New Roman"/>
          <w:spacing w:val="-2"/>
          <w:sz w:val="28"/>
          <w:szCs w:val="28"/>
        </w:rPr>
        <w:t>членам ревизионной комиссии – 1 базовых величин за проведенную ревизию.</w:t>
      </w:r>
    </w:p>
    <w:p w:rsidR="00563BA9" w:rsidRPr="00EB7659" w:rsidRDefault="00563BA9" w:rsidP="00563BA9">
      <w:pPr>
        <w:shd w:val="clear" w:color="auto" w:fill="FFFFFF"/>
        <w:tabs>
          <w:tab w:val="left" w:pos="634"/>
        </w:tabs>
        <w:spacing w:after="0" w:line="240" w:lineRule="auto"/>
        <w:ind w:firstLine="60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7659">
        <w:rPr>
          <w:rFonts w:ascii="Times New Roman" w:hAnsi="Times New Roman" w:cs="Times New Roman"/>
          <w:spacing w:val="-2"/>
          <w:sz w:val="28"/>
          <w:szCs w:val="28"/>
        </w:rPr>
        <w:t xml:space="preserve">секретарю наблюдательного совета – </w:t>
      </w: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EB7659">
        <w:rPr>
          <w:rFonts w:ascii="Times New Roman" w:hAnsi="Times New Roman" w:cs="Times New Roman"/>
          <w:spacing w:val="-2"/>
          <w:sz w:val="28"/>
          <w:szCs w:val="28"/>
        </w:rPr>
        <w:t xml:space="preserve"> базовых величин.</w:t>
      </w:r>
    </w:p>
    <w:p w:rsidR="00563BA9" w:rsidRPr="00EB7659" w:rsidRDefault="00563BA9" w:rsidP="00563BA9">
      <w:pPr>
        <w:shd w:val="clear" w:color="auto" w:fill="FFFFFF"/>
        <w:tabs>
          <w:tab w:val="left" w:pos="634"/>
        </w:tabs>
        <w:spacing w:after="0" w:line="240" w:lineRule="auto"/>
        <w:ind w:firstLine="60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7659">
        <w:rPr>
          <w:rFonts w:ascii="Times New Roman" w:hAnsi="Times New Roman" w:cs="Times New Roman"/>
          <w:spacing w:val="-2"/>
          <w:sz w:val="28"/>
          <w:szCs w:val="28"/>
        </w:rPr>
        <w:t>Указанное вознаграждение выплачивается Обществом при наличии прибыли:</w:t>
      </w:r>
    </w:p>
    <w:p w:rsidR="00563BA9" w:rsidRPr="00EB7659" w:rsidRDefault="00563BA9" w:rsidP="00563BA9">
      <w:pPr>
        <w:widowControl w:val="0"/>
        <w:numPr>
          <w:ilvl w:val="0"/>
          <w:numId w:val="1"/>
        </w:numPr>
        <w:shd w:val="clear" w:color="auto" w:fill="FFFFFF"/>
        <w:tabs>
          <w:tab w:val="clear" w:pos="1200"/>
          <w:tab w:val="left" w:pos="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7659">
        <w:rPr>
          <w:rFonts w:ascii="Times New Roman" w:hAnsi="Times New Roman" w:cs="Times New Roman"/>
          <w:spacing w:val="-2"/>
          <w:sz w:val="28"/>
          <w:szCs w:val="28"/>
        </w:rPr>
        <w:t>членам наблюдательного совета – по представлению председателя наблюдательного совета;</w:t>
      </w:r>
    </w:p>
    <w:p w:rsidR="00563BA9" w:rsidRPr="00EB7659" w:rsidRDefault="00563BA9" w:rsidP="00563BA9">
      <w:pPr>
        <w:widowControl w:val="0"/>
        <w:numPr>
          <w:ilvl w:val="0"/>
          <w:numId w:val="1"/>
        </w:numPr>
        <w:shd w:val="clear" w:color="auto" w:fill="FFFFFF"/>
        <w:tabs>
          <w:tab w:val="clear" w:pos="1200"/>
          <w:tab w:val="left" w:pos="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7659">
        <w:rPr>
          <w:rFonts w:ascii="Times New Roman" w:hAnsi="Times New Roman" w:cs="Times New Roman"/>
          <w:spacing w:val="-2"/>
          <w:sz w:val="28"/>
          <w:szCs w:val="28"/>
        </w:rPr>
        <w:t>членам ревизионной комиссии – по представлению председателя наблюдательного совета.</w:t>
      </w:r>
    </w:p>
    <w:p w:rsidR="00563BA9" w:rsidRPr="00EB7659" w:rsidRDefault="00563BA9" w:rsidP="00563BA9">
      <w:pPr>
        <w:widowControl w:val="0"/>
        <w:numPr>
          <w:ilvl w:val="0"/>
          <w:numId w:val="1"/>
        </w:numPr>
        <w:shd w:val="clear" w:color="auto" w:fill="FFFFFF"/>
        <w:tabs>
          <w:tab w:val="clear" w:pos="1200"/>
          <w:tab w:val="left" w:pos="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7659">
        <w:rPr>
          <w:rFonts w:ascii="Times New Roman" w:hAnsi="Times New Roman" w:cs="Times New Roman"/>
          <w:spacing w:val="-2"/>
          <w:sz w:val="28"/>
          <w:szCs w:val="28"/>
        </w:rPr>
        <w:t>представителям государства ежеквартальное вознаграждение за возлагаемые 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них обязанности согласно Указу</w:t>
      </w:r>
      <w:r w:rsidRPr="00EB7659">
        <w:rPr>
          <w:rFonts w:ascii="Times New Roman" w:hAnsi="Times New Roman" w:cs="Times New Roman"/>
          <w:spacing w:val="-2"/>
          <w:sz w:val="28"/>
          <w:szCs w:val="28"/>
        </w:rPr>
        <w:t xml:space="preserve"> Президента Республики Беларусь от 19.02. 2008г. №100 в редакции Указа Президента Республики Беларусь   от 08.02. 2013г. №74.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815"/>
        <w:gridCol w:w="3024"/>
        <w:gridCol w:w="3026"/>
      </w:tblGrid>
      <w:tr w:rsidR="00563BA9" w:rsidRPr="00EB7659" w:rsidTr="008E38BC">
        <w:tc>
          <w:tcPr>
            <w:tcW w:w="2887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101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>Рентабельность с начала отчетного года, %</w:t>
            </w:r>
          </w:p>
        </w:tc>
        <w:tc>
          <w:tcPr>
            <w:tcW w:w="3103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>Норматив исчисления размера вознаграждения, базовых величин в квартал</w:t>
            </w:r>
          </w:p>
        </w:tc>
      </w:tr>
      <w:tr w:rsidR="00563BA9" w:rsidRPr="00EB7659" w:rsidTr="008E38BC">
        <w:tc>
          <w:tcPr>
            <w:tcW w:w="2887" w:type="dxa"/>
            <w:vMerge w:val="restart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>Хозяйственные общества за исключением банков</w:t>
            </w:r>
          </w:p>
        </w:tc>
        <w:tc>
          <w:tcPr>
            <w:tcW w:w="3101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>До 10 включительно</w:t>
            </w:r>
          </w:p>
        </w:tc>
        <w:tc>
          <w:tcPr>
            <w:tcW w:w="3103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 xml:space="preserve"> 6 базовых величин</w:t>
            </w:r>
          </w:p>
        </w:tc>
      </w:tr>
      <w:tr w:rsidR="00563BA9" w:rsidRPr="00EB7659" w:rsidTr="008E38BC">
        <w:tc>
          <w:tcPr>
            <w:tcW w:w="2887" w:type="dxa"/>
            <w:vMerge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101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>Свыше 10 до 15 включительно</w:t>
            </w:r>
          </w:p>
        </w:tc>
        <w:tc>
          <w:tcPr>
            <w:tcW w:w="3103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>8 базовых величин</w:t>
            </w:r>
          </w:p>
        </w:tc>
      </w:tr>
      <w:tr w:rsidR="00563BA9" w:rsidRPr="00EB7659" w:rsidTr="008E38BC">
        <w:tc>
          <w:tcPr>
            <w:tcW w:w="2887" w:type="dxa"/>
            <w:vMerge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101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>Свыше 15 до 25включительно</w:t>
            </w:r>
          </w:p>
        </w:tc>
        <w:tc>
          <w:tcPr>
            <w:tcW w:w="3103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>10 базовых величин</w:t>
            </w:r>
          </w:p>
        </w:tc>
      </w:tr>
      <w:tr w:rsidR="00563BA9" w:rsidRPr="00EB7659" w:rsidTr="008E38BC">
        <w:tc>
          <w:tcPr>
            <w:tcW w:w="2887" w:type="dxa"/>
            <w:vMerge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101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>Свыше 25</w:t>
            </w:r>
          </w:p>
        </w:tc>
        <w:tc>
          <w:tcPr>
            <w:tcW w:w="3103" w:type="dxa"/>
          </w:tcPr>
          <w:p w:rsidR="00563BA9" w:rsidRPr="00EB7659" w:rsidRDefault="00563BA9" w:rsidP="008E38BC">
            <w:pPr>
              <w:tabs>
                <w:tab w:val="left" w:pos="634"/>
              </w:tabs>
              <w:jc w:val="both"/>
              <w:rPr>
                <w:spacing w:val="-2"/>
                <w:sz w:val="28"/>
                <w:szCs w:val="28"/>
              </w:rPr>
            </w:pPr>
            <w:r w:rsidRPr="00EB7659">
              <w:rPr>
                <w:spacing w:val="-2"/>
                <w:sz w:val="28"/>
                <w:szCs w:val="28"/>
              </w:rPr>
              <w:t>12 базовых величин</w:t>
            </w:r>
          </w:p>
        </w:tc>
      </w:tr>
    </w:tbl>
    <w:p w:rsidR="00563BA9" w:rsidRPr="00563BA9" w:rsidRDefault="00563BA9" w:rsidP="00563BA9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7659">
        <w:rPr>
          <w:rFonts w:ascii="Times New Roman" w:hAnsi="Times New Roman" w:cs="Times New Roman"/>
          <w:spacing w:val="-2"/>
          <w:sz w:val="28"/>
          <w:szCs w:val="28"/>
        </w:rPr>
        <w:t>2. Компенсировать расходы членам наблюдательного совета и ревизионной комиссии, связанные с осуществлением своих полномочий из средств Общества в соответствии с законодательством.</w:t>
      </w:r>
    </w:p>
    <w:p w:rsidR="00563BA9" w:rsidRPr="00563BA9" w:rsidRDefault="00563BA9" w:rsidP="00563BA9">
      <w:pPr>
        <w:rPr>
          <w:rFonts w:ascii="Times New Roman" w:hAnsi="Times New Roman" w:cs="Times New Roman"/>
          <w:sz w:val="28"/>
          <w:szCs w:val="28"/>
        </w:rPr>
      </w:pPr>
      <w:r w:rsidRPr="00563BA9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420419" w:rsidRDefault="00420419" w:rsidP="004204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BB7" w:rsidRDefault="00FB3BB7" w:rsidP="004204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BB7" w:rsidRDefault="00FB3BB7" w:rsidP="004204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BB7" w:rsidRDefault="00FB3BB7" w:rsidP="004204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0419" w:rsidRPr="00EA39B3" w:rsidRDefault="00420419" w:rsidP="00420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0419" w:rsidRPr="00EA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46CD7"/>
    <w:multiLevelType w:val="hybridMultilevel"/>
    <w:tmpl w:val="A81E38D0"/>
    <w:lvl w:ilvl="0" w:tplc="1682BEB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B7"/>
    <w:rsid w:val="001D74B8"/>
    <w:rsid w:val="00392C06"/>
    <w:rsid w:val="00420419"/>
    <w:rsid w:val="00494F85"/>
    <w:rsid w:val="004D4197"/>
    <w:rsid w:val="00563BA9"/>
    <w:rsid w:val="007F34B7"/>
    <w:rsid w:val="00CB1368"/>
    <w:rsid w:val="00F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9B024-1CF2-4C9F-BABD-61DE61D0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41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420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4204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42041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</cp:lastModifiedBy>
  <cp:revision>12</cp:revision>
  <dcterms:created xsi:type="dcterms:W3CDTF">2022-04-28T11:36:00Z</dcterms:created>
  <dcterms:modified xsi:type="dcterms:W3CDTF">2022-04-28T15:09:00Z</dcterms:modified>
</cp:coreProperties>
</file>